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92" w:rsidRDefault="002D538C" w:rsidP="0016559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eastAsia="en-GB"/>
        </w:rPr>
        <w:drawing>
          <wp:inline distT="0" distB="0" distL="0" distR="0">
            <wp:extent cx="1676400" cy="1363980"/>
            <wp:effectExtent l="0" t="0" r="0" b="7620"/>
            <wp:docPr id="3" name="Picture 3" descr="C:\Users\sorina.spanou\Desktop\MHI-logo_MHI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ina.spanou\Desktop\MHI-logo_MHI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92" w:rsidRPr="003B1F56" w:rsidRDefault="00165592" w:rsidP="00165592">
      <w:pPr>
        <w:pStyle w:val="Heading1"/>
        <w:rPr>
          <w:rFonts w:ascii="Arial" w:hAnsi="Arial" w:cs="Arial"/>
          <w:sz w:val="24"/>
        </w:rPr>
      </w:pPr>
      <w:r w:rsidRPr="003B1F56">
        <w:rPr>
          <w:rFonts w:ascii="Arial" w:hAnsi="Arial" w:cs="Arial"/>
          <w:sz w:val="24"/>
        </w:rPr>
        <w:t xml:space="preserve">Job Description </w:t>
      </w:r>
    </w:p>
    <w:p w:rsidR="00165592" w:rsidRDefault="00165592" w:rsidP="00165592">
      <w:pPr>
        <w:rPr>
          <w:rFonts w:ascii="ITC Franklin Gothic Book" w:hAnsi="ITC Franklin Gothic Book"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ook w:val="0080" w:firstRow="0" w:lastRow="0" w:firstColumn="1" w:lastColumn="0" w:noHBand="0" w:noVBand="0"/>
      </w:tblPr>
      <w:tblGrid>
        <w:gridCol w:w="1951"/>
        <w:gridCol w:w="6662"/>
      </w:tblGrid>
      <w:tr w:rsidR="00165592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2" w:rsidRPr="003B1F56" w:rsidRDefault="00165592" w:rsidP="006452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F56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A" w:rsidRDefault="00B2007B" w:rsidP="00D22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07B">
              <w:rPr>
                <w:rFonts w:ascii="Arial" w:hAnsi="Arial" w:cs="Arial"/>
                <w:sz w:val="22"/>
                <w:szCs w:val="22"/>
              </w:rPr>
              <w:t>Senior Community Archaeologist</w:t>
            </w:r>
            <w:r w:rsidR="00E54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2540" w:rsidRDefault="00F52540" w:rsidP="00D22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3142" w:rsidRPr="003B1F56" w:rsidRDefault="00F52540" w:rsidP="00E542E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A23D5">
              <w:rPr>
                <w:rFonts w:ascii="Arial" w:hAnsi="Arial" w:cs="Arial"/>
                <w:sz w:val="22"/>
                <w:szCs w:val="22"/>
              </w:rPr>
              <w:t>MOLA Headland Infrastructure is an ambitious archaeological consortium with long term prospects for infrastructure work throughout the UK</w:t>
            </w:r>
            <w:r w:rsidR="00FC09E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65592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2" w:rsidRPr="003B1F56" w:rsidRDefault="00FC09E1" w:rsidP="006452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Reference: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2" w:rsidRPr="003B1F56" w:rsidRDefault="00FC09E1" w:rsidP="001804C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CA-A14</w:t>
            </w:r>
          </w:p>
        </w:tc>
      </w:tr>
      <w:tr w:rsidR="00FC09E1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MOLA HEADLAND Infrastructure</w:t>
            </w:r>
          </w:p>
        </w:tc>
      </w:tr>
      <w:tr w:rsidR="00FC09E1" w:rsidRPr="003B1F56" w:rsidTr="00D814BD">
        <w:trPr>
          <w:trHeight w:val="8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AC0D30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AC0D30" w:rsidRDefault="00FC09E1" w:rsidP="00FC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07B">
              <w:rPr>
                <w:rFonts w:ascii="Arial" w:hAnsi="Arial" w:cs="Arial"/>
                <w:sz w:val="22"/>
                <w:szCs w:val="22"/>
              </w:rPr>
              <w:t>£2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2007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600</w:t>
            </w:r>
            <w:r w:rsidRPr="00B2007B">
              <w:rPr>
                <w:rFonts w:ascii="Arial" w:hAnsi="Arial" w:cs="Arial"/>
                <w:sz w:val="22"/>
                <w:szCs w:val="22"/>
              </w:rPr>
              <w:t>–£</w:t>
            </w:r>
            <w:r>
              <w:rPr>
                <w:rFonts w:ascii="Arial" w:hAnsi="Arial" w:cs="Arial"/>
                <w:sz w:val="22"/>
                <w:szCs w:val="22"/>
              </w:rPr>
              <w:t>26,000</w:t>
            </w:r>
            <w:r w:rsidRPr="00B20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09E1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AC0D30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0D30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AC0D30" w:rsidRDefault="00FC09E1" w:rsidP="00FC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37.5 hours per week (Flexible days of work between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Monday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Sunday). Flexibility with working hours will be required.</w:t>
            </w:r>
            <w:r w:rsidRPr="00AC0D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09E1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AC0D30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0D30">
              <w:rPr>
                <w:rFonts w:ascii="Arial" w:hAnsi="Arial" w:cs="Arial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Default="00FC09E1" w:rsidP="00FC09E1">
            <w:pPr>
              <w:rPr>
                <w:rFonts w:ascii="Arial" w:hAnsi="Arial" w:cs="Arial"/>
                <w:sz w:val="22"/>
                <w:szCs w:val="22"/>
              </w:rPr>
            </w:pPr>
            <w:r w:rsidRPr="00AC0D30">
              <w:rPr>
                <w:rFonts w:ascii="Arial" w:hAnsi="Arial" w:cs="Arial"/>
                <w:sz w:val="22"/>
                <w:szCs w:val="22"/>
              </w:rPr>
              <w:t xml:space="preserve">The post is based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Headland Infrastructure Project office at 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Neots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on various locations along the scheme (Cambridge to Huntington). Fl</w:t>
            </w:r>
            <w:r w:rsidRPr="00AC0D30">
              <w:rPr>
                <w:rFonts w:ascii="Arial" w:hAnsi="Arial" w:cs="Arial"/>
                <w:sz w:val="22"/>
                <w:szCs w:val="22"/>
              </w:rPr>
              <w:t>exibility with regard to travel will be necessary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C0D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09E1" w:rsidRPr="00AC0D30" w:rsidRDefault="00FC09E1" w:rsidP="00FC0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9E1" w:rsidRPr="003B1F56" w:rsidTr="00DF2DB7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Duration: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Default="00FC09E1" w:rsidP="00FC09E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Fixed Term – 1 year</w:t>
            </w:r>
          </w:p>
          <w:p w:rsidR="00FC09E1" w:rsidRPr="003B1F56" w:rsidRDefault="00FC09E1" w:rsidP="00FC09E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C09E1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F56">
              <w:rPr>
                <w:rFonts w:ascii="Arial" w:hAnsi="Arial" w:cs="Arial"/>
                <w:b/>
                <w:bCs/>
                <w:sz w:val="22"/>
                <w:szCs w:val="22"/>
              </w:rPr>
              <w:t>Responsible to: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MOLA Headland Infrastructure public engagement and communications managers for the A14 project</w:t>
            </w:r>
          </w:p>
        </w:tc>
      </w:tr>
      <w:tr w:rsidR="00FC09E1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F56">
              <w:rPr>
                <w:rFonts w:ascii="Arial" w:hAnsi="Arial" w:cs="Arial"/>
                <w:b/>
                <w:bCs/>
                <w:sz w:val="22"/>
                <w:szCs w:val="22"/>
              </w:rPr>
              <w:t>Responsible for: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Archaeologists as appropriate when preparing and delivering events. Supervision of volunteers as required.</w:t>
            </w:r>
          </w:p>
          <w:p w:rsidR="00FC09E1" w:rsidRPr="003B1F56" w:rsidRDefault="00FC09E1" w:rsidP="00FC09E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C09E1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F56">
              <w:rPr>
                <w:rFonts w:ascii="Arial" w:hAnsi="Arial" w:cs="Arial"/>
                <w:b/>
                <w:bCs/>
                <w:sz w:val="22"/>
                <w:szCs w:val="22"/>
              </w:rPr>
              <w:t>Overall Job Purpose: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DF2DB7" w:rsidRDefault="00FC09E1" w:rsidP="00FC09E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To develop, manage and deliver a programme of community engagement around the archaeological works taking place as part of a major road scheme in Cambridgeshire (A14 Cambridge to Huntingdon improvement scheme). </w:t>
            </w:r>
          </w:p>
        </w:tc>
      </w:tr>
      <w:tr w:rsidR="00FC09E1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F56">
              <w:rPr>
                <w:rFonts w:ascii="Arial" w:hAnsi="Arial" w:cs="Arial"/>
                <w:b/>
                <w:bCs/>
                <w:sz w:val="22"/>
                <w:szCs w:val="22"/>
              </w:rPr>
              <w:t>Key Result areas: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09E1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CF40ED">
              <w:rPr>
                <w:rFonts w:ascii="Arial" w:hAnsi="Arial" w:cs="Arial"/>
                <w:sz w:val="22"/>
                <w:szCs w:val="22"/>
              </w:rPr>
              <w:t>To deliver the key targets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engagement programme as agreed between Highways England and MOLA Headland Infrastructure</w:t>
            </w:r>
          </w:p>
          <w:p w:rsidR="00FC09E1" w:rsidRDefault="00FC09E1" w:rsidP="00FC09E1">
            <w:pPr>
              <w:pStyle w:val="ListParagraph"/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FC09E1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liaise with the project’s field personnel in order to gather content and facilitate engagement programmes</w:t>
            </w:r>
          </w:p>
          <w:p w:rsidR="00FC09E1" w:rsidRPr="00B260DF" w:rsidRDefault="00FC09E1" w:rsidP="00FC0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C09E1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CF40ED">
              <w:rPr>
                <w:rFonts w:ascii="Arial" w:hAnsi="Arial" w:cs="Arial"/>
                <w:sz w:val="22"/>
                <w:szCs w:val="22"/>
              </w:rPr>
              <w:t>organis</w:t>
            </w:r>
            <w:r>
              <w:rPr>
                <w:rFonts w:ascii="Arial" w:hAnsi="Arial" w:cs="Arial"/>
                <w:sz w:val="22"/>
                <w:szCs w:val="22"/>
              </w:rPr>
              <w:t>e, coordinate</w:t>
            </w:r>
            <w:r w:rsidRPr="00CF40ED">
              <w:rPr>
                <w:rFonts w:ascii="Arial" w:hAnsi="Arial" w:cs="Arial"/>
                <w:sz w:val="22"/>
                <w:szCs w:val="22"/>
              </w:rPr>
              <w:t xml:space="preserve"> and deliver </w:t>
            </w:r>
            <w:r>
              <w:rPr>
                <w:rFonts w:ascii="Arial" w:hAnsi="Arial" w:cs="Arial"/>
                <w:sz w:val="22"/>
                <w:szCs w:val="22"/>
              </w:rPr>
              <w:t xml:space="preserve">successful and popular </w:t>
            </w:r>
            <w:r w:rsidRPr="00CF40ED">
              <w:rPr>
                <w:rFonts w:ascii="Arial" w:hAnsi="Arial" w:cs="Arial"/>
                <w:sz w:val="22"/>
                <w:szCs w:val="22"/>
              </w:rPr>
              <w:t>events required for t</w:t>
            </w:r>
            <w:r>
              <w:rPr>
                <w:rFonts w:ascii="Arial" w:hAnsi="Arial" w:cs="Arial"/>
                <w:sz w:val="22"/>
                <w:szCs w:val="22"/>
              </w:rPr>
              <w:t>he public engagement programme</w:t>
            </w:r>
          </w:p>
          <w:p w:rsidR="00FC09E1" w:rsidRPr="00CF40ED" w:rsidRDefault="00FC09E1" w:rsidP="00FC0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C09E1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devise content for MOLA’s Time Truck displays or other travelling exhibitions </w:t>
            </w:r>
          </w:p>
          <w:p w:rsidR="00FC09E1" w:rsidRPr="00B260DF" w:rsidRDefault="00FC09E1" w:rsidP="00FC0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C09E1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write timely and appropriate content for social media, the project’s blog and other media reporting on the progress of work in keeping with the agreed client protocols </w:t>
            </w:r>
          </w:p>
          <w:p w:rsidR="00FC09E1" w:rsidRPr="00CF40ED" w:rsidRDefault="00FC09E1" w:rsidP="00FC0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C09E1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regularly report and share project outcomes with relevant internal and external partners</w:t>
            </w:r>
          </w:p>
          <w:p w:rsidR="00FC09E1" w:rsidRPr="00CF40ED" w:rsidRDefault="00FC09E1" w:rsidP="00FC0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C09E1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coordinate the work of the MOLA Time Truck Education Officer on the A14 project including liaising with schools regarding bookings</w:t>
            </w:r>
          </w:p>
          <w:p w:rsidR="00FC09E1" w:rsidRPr="00CF40ED" w:rsidRDefault="00FC09E1" w:rsidP="00FC0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C09E1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engage, develop and maintain links with local audiences, including local historical and archaeological societies</w:t>
            </w:r>
          </w:p>
          <w:p w:rsidR="00FC09E1" w:rsidRPr="00CF40ED" w:rsidRDefault="00FC09E1" w:rsidP="00FC0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C09E1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responsible for undertaking any administration required to ensure delivery of project objectives</w:t>
            </w:r>
          </w:p>
          <w:p w:rsidR="00FC09E1" w:rsidRPr="00CF40ED" w:rsidRDefault="00FC09E1" w:rsidP="00FC0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C09E1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CF40ED">
              <w:rPr>
                <w:rFonts w:ascii="Arial" w:hAnsi="Arial" w:cs="Arial"/>
                <w:sz w:val="22"/>
                <w:szCs w:val="22"/>
              </w:rPr>
              <w:t>To be professional and to uphold the standard</w:t>
            </w:r>
            <w:r>
              <w:rPr>
                <w:rFonts w:ascii="Arial" w:hAnsi="Arial" w:cs="Arial"/>
                <w:sz w:val="22"/>
                <w:szCs w:val="22"/>
              </w:rPr>
              <w:t>s, values and reputation of MOLA Headland Infrastructure</w:t>
            </w:r>
            <w:r w:rsidRPr="00CF40ED">
              <w:rPr>
                <w:rFonts w:ascii="Arial" w:hAnsi="Arial" w:cs="Arial"/>
                <w:sz w:val="22"/>
                <w:szCs w:val="22"/>
              </w:rPr>
              <w:t xml:space="preserve"> in all team, client and public interactions</w:t>
            </w:r>
          </w:p>
          <w:p w:rsidR="00FC09E1" w:rsidRPr="00CF40ED" w:rsidRDefault="00FC09E1" w:rsidP="00FC0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C09E1" w:rsidRPr="00CF40ED" w:rsidRDefault="00FC09E1" w:rsidP="00FC09E1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CF40ED">
              <w:rPr>
                <w:rFonts w:ascii="Arial" w:hAnsi="Arial" w:cs="Arial"/>
                <w:sz w:val="22"/>
                <w:szCs w:val="22"/>
              </w:rPr>
              <w:t>To work in accordance w</w:t>
            </w:r>
            <w:r>
              <w:rPr>
                <w:rFonts w:ascii="Arial" w:hAnsi="Arial" w:cs="Arial"/>
                <w:sz w:val="22"/>
                <w:szCs w:val="22"/>
              </w:rPr>
              <w:t>ith the requirements of the MOLA Headland Infrastructure’s</w:t>
            </w:r>
            <w:r w:rsidRPr="00CF40ED">
              <w:rPr>
                <w:rFonts w:ascii="Arial" w:hAnsi="Arial" w:cs="Arial"/>
                <w:sz w:val="22"/>
                <w:szCs w:val="22"/>
              </w:rPr>
              <w:t xml:space="preserve"> Health and Safety Policy</w:t>
            </w:r>
          </w:p>
          <w:p w:rsidR="00FC09E1" w:rsidRPr="003B1F56" w:rsidRDefault="00FC09E1" w:rsidP="00FC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9E1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rPr>
                <w:rFonts w:ascii="Arial" w:hAnsi="Arial" w:cs="Arial"/>
                <w:sz w:val="22"/>
                <w:szCs w:val="22"/>
              </w:rPr>
            </w:pPr>
            <w:r w:rsidRPr="003B1F5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Working Conditions</w:t>
            </w:r>
          </w:p>
          <w:p w:rsidR="00FC09E1" w:rsidRPr="003B1F56" w:rsidRDefault="00FC09E1" w:rsidP="00FC09E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09E1" w:rsidRPr="00CF40ED" w:rsidRDefault="00FC09E1" w:rsidP="00FC09E1">
            <w:pPr>
              <w:numPr>
                <w:ilvl w:val="0"/>
                <w:numId w:val="15"/>
              </w:numPr>
              <w:spacing w:after="120"/>
              <w:ind w:left="318" w:hanging="28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Travel within</w:t>
            </w:r>
            <w:r w:rsidRPr="00CF40E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South Cambridgeshire</w:t>
            </w:r>
            <w:r w:rsidRPr="00CF40ED">
              <w:rPr>
                <w:rFonts w:ascii="Arial" w:hAnsi="Arial" w:cs="Arial"/>
                <w:iCs/>
                <w:sz w:val="22"/>
                <w:szCs w:val="22"/>
              </w:rPr>
              <w:t xml:space="preserve"> including occasional extended stays away from the primary base</w:t>
            </w:r>
          </w:p>
          <w:p w:rsidR="00FC09E1" w:rsidRPr="00CF40ED" w:rsidRDefault="00FC09E1" w:rsidP="00FC09E1">
            <w:pPr>
              <w:numPr>
                <w:ilvl w:val="0"/>
                <w:numId w:val="15"/>
              </w:numPr>
              <w:spacing w:after="120"/>
              <w:ind w:left="318" w:hanging="284"/>
              <w:rPr>
                <w:rFonts w:ascii="Arial" w:hAnsi="Arial" w:cs="Arial"/>
                <w:iCs/>
                <w:sz w:val="22"/>
                <w:szCs w:val="22"/>
              </w:rPr>
            </w:pPr>
            <w:r w:rsidRPr="00CF40ED">
              <w:rPr>
                <w:rFonts w:ascii="Arial" w:hAnsi="Arial" w:cs="Arial"/>
                <w:iCs/>
                <w:sz w:val="22"/>
                <w:szCs w:val="22"/>
              </w:rPr>
              <w:t>Weekend and evening working will be required</w:t>
            </w:r>
          </w:p>
          <w:p w:rsidR="00FC09E1" w:rsidRPr="003B1F56" w:rsidRDefault="00FC09E1" w:rsidP="00FC09E1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9E1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3B1F56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Circumstances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CF40ED" w:rsidRDefault="00FC09E1" w:rsidP="00FC09E1">
            <w:pPr>
              <w:numPr>
                <w:ilvl w:val="0"/>
                <w:numId w:val="15"/>
              </w:numPr>
              <w:ind w:left="317" w:hanging="28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40ED">
              <w:rPr>
                <w:rFonts w:ascii="Arial" w:hAnsi="Arial" w:cs="Arial"/>
                <w:iCs/>
                <w:sz w:val="22"/>
                <w:szCs w:val="22"/>
              </w:rPr>
              <w:t>A Disclosure and Barring Service (DBS) Check will be required as the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role may involve working with</w:t>
            </w:r>
            <w:r w:rsidRPr="00CF40ED">
              <w:rPr>
                <w:rFonts w:ascii="Arial" w:hAnsi="Arial" w:cs="Arial"/>
                <w:iCs/>
                <w:sz w:val="22"/>
                <w:szCs w:val="22"/>
              </w:rPr>
              <w:t xml:space="preserve"> vulnerable adults.</w:t>
            </w:r>
            <w:r w:rsidRPr="00CF40ED">
              <w:rPr>
                <w:rFonts w:ascii="Arial" w:eastAsia="Batang" w:hAnsi="Arial" w:cs="Arial"/>
                <w:iCs/>
                <w:sz w:val="22"/>
                <w:szCs w:val="22"/>
              </w:rPr>
              <w:t xml:space="preserve"> A criminal record may not be a bar to employment but any decision </w:t>
            </w:r>
            <w:r w:rsidRPr="00CF40ED">
              <w:rPr>
                <w:rFonts w:ascii="Arial" w:hAnsi="Arial" w:cs="Arial"/>
                <w:iCs/>
                <w:sz w:val="22"/>
                <w:szCs w:val="22"/>
              </w:rPr>
              <w:t>will be treated on its merits and individual circumstances subject to MOLA’s overriding obligations to protect children and other vulnerable members of the communit</w:t>
            </w:r>
            <w:r>
              <w:rPr>
                <w:rFonts w:ascii="Arial" w:hAnsi="Arial" w:cs="Arial"/>
                <w:iCs/>
                <w:sz w:val="22"/>
                <w:szCs w:val="22"/>
              </w:rPr>
              <w:t>ies</w:t>
            </w:r>
          </w:p>
          <w:p w:rsidR="00FC09E1" w:rsidRPr="003B1F56" w:rsidRDefault="00FC09E1" w:rsidP="00FC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9E1" w:rsidRPr="003B1F56" w:rsidTr="003B1F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Default="00FC09E1" w:rsidP="00FC0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23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Continuous Professional Development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1" w:rsidRPr="00CF40ED" w:rsidRDefault="00FC09E1" w:rsidP="00FC09E1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FA23D5">
              <w:rPr>
                <w:rFonts w:ascii="Arial" w:hAnsi="Arial" w:cs="Arial"/>
                <w:sz w:val="22"/>
                <w:szCs w:val="22"/>
              </w:rPr>
              <w:t>We are committed to supporting and providing CPD for successful candidates. We expect all employees to undertake available training and research to enhance personal knowledge, skills and experience</w:t>
            </w:r>
          </w:p>
        </w:tc>
      </w:tr>
    </w:tbl>
    <w:p w:rsidR="00B2007B" w:rsidRDefault="00B2007B" w:rsidP="003B1F56">
      <w:pPr>
        <w:jc w:val="both"/>
        <w:rPr>
          <w:rFonts w:ascii="Arial" w:hAnsi="Arial" w:cs="Arial"/>
          <w:b/>
          <w:sz w:val="22"/>
          <w:szCs w:val="22"/>
        </w:rPr>
      </w:pPr>
    </w:p>
    <w:p w:rsidR="00B2007B" w:rsidRDefault="00B2007B" w:rsidP="003B1F56">
      <w:pPr>
        <w:jc w:val="both"/>
        <w:rPr>
          <w:rFonts w:ascii="Arial" w:hAnsi="Arial" w:cs="Arial"/>
          <w:b/>
          <w:sz w:val="22"/>
          <w:szCs w:val="22"/>
        </w:rPr>
      </w:pPr>
    </w:p>
    <w:p w:rsidR="003B1F56" w:rsidRPr="00BD260C" w:rsidRDefault="003B1F56" w:rsidP="003B1F56">
      <w:pPr>
        <w:jc w:val="both"/>
        <w:rPr>
          <w:rFonts w:ascii="Arial" w:hAnsi="Arial" w:cs="Arial"/>
          <w:sz w:val="22"/>
          <w:szCs w:val="22"/>
        </w:rPr>
      </w:pPr>
      <w:r w:rsidRPr="00AC0D30">
        <w:rPr>
          <w:rFonts w:ascii="Arial" w:hAnsi="Arial" w:cs="Arial"/>
          <w:b/>
          <w:sz w:val="22"/>
          <w:szCs w:val="22"/>
        </w:rPr>
        <w:t>NB</w:t>
      </w:r>
      <w:r w:rsidR="00CF40ED">
        <w:rPr>
          <w:rFonts w:ascii="Arial" w:hAnsi="Arial" w:cs="Arial"/>
          <w:sz w:val="22"/>
          <w:szCs w:val="22"/>
        </w:rPr>
        <w:t xml:space="preserve"> This </w:t>
      </w:r>
      <w:r w:rsidRPr="00AC0D30">
        <w:rPr>
          <w:rFonts w:ascii="Arial" w:hAnsi="Arial" w:cs="Arial"/>
          <w:sz w:val="22"/>
          <w:szCs w:val="22"/>
        </w:rPr>
        <w:t>job description should not be taken as an exhaustive description of the role and is, rather, indicative of the types of responsibility covered by this job.  Post holders</w:t>
      </w:r>
      <w:r w:rsidRPr="00BD260C">
        <w:rPr>
          <w:rFonts w:ascii="Arial" w:hAnsi="Arial" w:cs="Arial"/>
          <w:sz w:val="22"/>
          <w:szCs w:val="22"/>
        </w:rPr>
        <w:t xml:space="preserve"> will be required to carry out such other work as is required by </w:t>
      </w:r>
      <w:r>
        <w:rPr>
          <w:rFonts w:ascii="Arial" w:hAnsi="Arial" w:cs="Arial"/>
          <w:sz w:val="22"/>
          <w:szCs w:val="22"/>
        </w:rPr>
        <w:t>MOLA</w:t>
      </w:r>
      <w:r w:rsidR="00FC09E1">
        <w:rPr>
          <w:rFonts w:ascii="Arial" w:hAnsi="Arial" w:cs="Arial"/>
          <w:sz w:val="22"/>
          <w:szCs w:val="22"/>
        </w:rPr>
        <w:t xml:space="preserve"> Headland Infrastructure</w:t>
      </w:r>
      <w:r w:rsidRPr="00BD260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D260C">
        <w:rPr>
          <w:rFonts w:ascii="Arial" w:hAnsi="Arial" w:cs="Arial"/>
          <w:sz w:val="22"/>
          <w:szCs w:val="22"/>
        </w:rPr>
        <w:t>as long as this is reasonable and commensurate with the nature of the post held.</w:t>
      </w:r>
    </w:p>
    <w:p w:rsidR="003B1F56" w:rsidRDefault="003B1F56" w:rsidP="003B1F56">
      <w:pPr>
        <w:jc w:val="both"/>
        <w:rPr>
          <w:rFonts w:ascii="Arial" w:hAnsi="Arial" w:cs="Arial"/>
          <w:bCs/>
        </w:rPr>
      </w:pPr>
    </w:p>
    <w:p w:rsidR="003B1F56" w:rsidRPr="00365E8F" w:rsidRDefault="003B1F56" w:rsidP="003B1F56">
      <w:pPr>
        <w:jc w:val="both"/>
        <w:rPr>
          <w:rFonts w:ascii="Arial" w:hAnsi="Arial" w:cs="Arial"/>
          <w:bCs/>
          <w:sz w:val="22"/>
          <w:szCs w:val="22"/>
        </w:rPr>
      </w:pPr>
    </w:p>
    <w:p w:rsidR="003B1F56" w:rsidRPr="00365E8F" w:rsidRDefault="003B1F56" w:rsidP="00CF40ED">
      <w:pPr>
        <w:jc w:val="right"/>
        <w:rPr>
          <w:rFonts w:ascii="Arial" w:hAnsi="Arial" w:cs="Arial"/>
          <w:bCs/>
          <w:sz w:val="22"/>
          <w:szCs w:val="22"/>
        </w:rPr>
        <w:sectPr w:rsidR="003B1F56" w:rsidRPr="00365E8F" w:rsidSect="005B10E9">
          <w:pgSz w:w="11906" w:h="16838" w:code="9"/>
          <w:pgMar w:top="993" w:right="1701" w:bottom="1276" w:left="1701" w:header="709" w:footer="709" w:gutter="0"/>
          <w:cols w:space="708"/>
          <w:docGrid w:linePitch="360"/>
        </w:sectPr>
      </w:pPr>
      <w:r w:rsidRPr="00365E8F">
        <w:rPr>
          <w:rFonts w:ascii="Arial" w:hAnsi="Arial" w:cs="Arial"/>
          <w:bCs/>
          <w:sz w:val="22"/>
          <w:szCs w:val="22"/>
        </w:rPr>
        <w:t xml:space="preserve">Last updated: </w:t>
      </w:r>
      <w:r w:rsidR="00FC09E1">
        <w:rPr>
          <w:rFonts w:ascii="Arial" w:hAnsi="Arial" w:cs="Arial"/>
          <w:bCs/>
          <w:sz w:val="22"/>
          <w:szCs w:val="22"/>
        </w:rPr>
        <w:t>February</w:t>
      </w:r>
      <w:r w:rsidR="00FC09E1">
        <w:rPr>
          <w:rFonts w:ascii="Arial" w:hAnsi="Arial" w:cs="Arial"/>
          <w:bCs/>
          <w:sz w:val="22"/>
          <w:szCs w:val="22"/>
        </w:rPr>
        <w:t xml:space="preserve"> </w:t>
      </w:r>
      <w:r w:rsidR="00CF40ED">
        <w:rPr>
          <w:rFonts w:ascii="Arial" w:hAnsi="Arial" w:cs="Arial"/>
          <w:bCs/>
          <w:sz w:val="22"/>
          <w:szCs w:val="22"/>
        </w:rPr>
        <w:t>201</w:t>
      </w:r>
      <w:r w:rsidR="00FC09E1">
        <w:rPr>
          <w:rFonts w:ascii="Arial" w:hAnsi="Arial" w:cs="Arial"/>
          <w:bCs/>
          <w:sz w:val="22"/>
          <w:szCs w:val="22"/>
        </w:rPr>
        <w:t>7</w:t>
      </w:r>
    </w:p>
    <w:p w:rsidR="00165592" w:rsidRPr="003B1F56" w:rsidRDefault="00165592" w:rsidP="00A572B4">
      <w:pPr>
        <w:pStyle w:val="Title"/>
        <w:rPr>
          <w:rFonts w:ascii="Arial" w:hAnsi="Arial" w:cs="Arial"/>
          <w:sz w:val="24"/>
        </w:rPr>
      </w:pPr>
      <w:r w:rsidRPr="003B1F56">
        <w:rPr>
          <w:rFonts w:ascii="Arial" w:hAnsi="Arial" w:cs="Arial"/>
          <w:sz w:val="24"/>
        </w:rPr>
        <w:lastRenderedPageBreak/>
        <w:t>Person Specification</w:t>
      </w:r>
    </w:p>
    <w:p w:rsidR="00165592" w:rsidRPr="003B1F56" w:rsidRDefault="00165592" w:rsidP="001655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3142" w:rsidRPr="003B1F56" w:rsidRDefault="00443142" w:rsidP="00A572B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848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6662"/>
        <w:gridCol w:w="5103"/>
        <w:gridCol w:w="1276"/>
      </w:tblGrid>
      <w:tr w:rsidR="0091254F" w:rsidRPr="00E533D7" w:rsidTr="00E533D7">
        <w:trPr>
          <w:trHeight w:val="779"/>
        </w:trPr>
        <w:tc>
          <w:tcPr>
            <w:tcW w:w="1807" w:type="dxa"/>
            <w:shd w:val="clear" w:color="auto" w:fill="auto"/>
            <w:vAlign w:val="center"/>
          </w:tcPr>
          <w:p w:rsidR="0091254F" w:rsidRPr="00E533D7" w:rsidRDefault="0091254F" w:rsidP="00A916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1254F" w:rsidRPr="00E533D7" w:rsidRDefault="0091254F" w:rsidP="00A916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3D7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254F" w:rsidRPr="00E533D7" w:rsidRDefault="0091254F" w:rsidP="00A916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3D7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54F" w:rsidRPr="00E533D7" w:rsidRDefault="0091254F" w:rsidP="00A916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3D7">
              <w:rPr>
                <w:rFonts w:ascii="Arial" w:hAnsi="Arial" w:cs="Arial"/>
                <w:b/>
                <w:bCs/>
                <w:sz w:val="22"/>
                <w:szCs w:val="22"/>
              </w:rPr>
              <w:t>Assess. Method</w:t>
            </w:r>
          </w:p>
        </w:tc>
      </w:tr>
      <w:tr w:rsidR="0091254F" w:rsidRPr="00E533D7" w:rsidTr="003B1F56">
        <w:trPr>
          <w:trHeight w:val="480"/>
        </w:trPr>
        <w:tc>
          <w:tcPr>
            <w:tcW w:w="1807" w:type="dxa"/>
            <w:shd w:val="clear" w:color="auto" w:fill="C0C0C0"/>
            <w:vAlign w:val="center"/>
          </w:tcPr>
          <w:p w:rsidR="0091254F" w:rsidRPr="00E533D7" w:rsidRDefault="0091254F" w:rsidP="00A916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3D7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6662" w:type="dxa"/>
            <w:shd w:val="clear" w:color="auto" w:fill="C0C0C0"/>
            <w:vAlign w:val="center"/>
          </w:tcPr>
          <w:p w:rsidR="0091254F" w:rsidRPr="00E533D7" w:rsidRDefault="0091254F" w:rsidP="00A91601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91254F" w:rsidRPr="00E533D7" w:rsidRDefault="0091254F" w:rsidP="00A91601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1254F" w:rsidRPr="00E533D7" w:rsidRDefault="0091254F" w:rsidP="00A91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54F" w:rsidRPr="00E533D7" w:rsidTr="00E533D7">
        <w:trPr>
          <w:trHeight w:val="467"/>
        </w:trPr>
        <w:tc>
          <w:tcPr>
            <w:tcW w:w="1807" w:type="dxa"/>
            <w:shd w:val="clear" w:color="auto" w:fill="auto"/>
            <w:vAlign w:val="center"/>
          </w:tcPr>
          <w:p w:rsidR="0091254F" w:rsidRPr="00E533D7" w:rsidRDefault="0091254F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1254F" w:rsidRPr="00E533D7" w:rsidRDefault="0091254F" w:rsidP="00025B6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Degree in archaeology</w:t>
            </w:r>
            <w:r w:rsidR="00025B60" w:rsidRPr="00E533D7">
              <w:rPr>
                <w:rFonts w:ascii="Arial" w:hAnsi="Arial" w:cs="Arial"/>
                <w:sz w:val="22"/>
                <w:szCs w:val="22"/>
              </w:rPr>
              <w:t xml:space="preserve"> or equivalent discipline or experience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254F" w:rsidRPr="00E533D7" w:rsidRDefault="00025B60" w:rsidP="005B10E9">
            <w:pPr>
              <w:pStyle w:val="BodyText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E533D7">
              <w:rPr>
                <w:rFonts w:ascii="Arial" w:hAnsi="Arial" w:cs="Arial"/>
                <w:i w:val="0"/>
                <w:sz w:val="22"/>
                <w:szCs w:val="22"/>
              </w:rPr>
              <w:t>Further degree in relevant discipline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54F" w:rsidRPr="00E533D7" w:rsidRDefault="0091254F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025B60" w:rsidRPr="00E533D7" w:rsidTr="00E533D7">
        <w:trPr>
          <w:trHeight w:val="699"/>
        </w:trPr>
        <w:tc>
          <w:tcPr>
            <w:tcW w:w="1807" w:type="dxa"/>
            <w:shd w:val="clear" w:color="auto" w:fill="auto"/>
            <w:vAlign w:val="center"/>
          </w:tcPr>
          <w:p w:rsidR="00025B60" w:rsidRPr="00E533D7" w:rsidRDefault="00025B60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25B60" w:rsidRPr="00E533D7" w:rsidRDefault="00025B60" w:rsidP="005B10E9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CSCS card or willingness to train and take the test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5B60" w:rsidRPr="00E533D7" w:rsidRDefault="00025B60" w:rsidP="005B10E9">
            <w:pPr>
              <w:pStyle w:val="BodyText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E533D7">
              <w:rPr>
                <w:rFonts w:ascii="Arial" w:hAnsi="Arial" w:cs="Arial"/>
                <w:i w:val="0"/>
                <w:sz w:val="22"/>
                <w:szCs w:val="22"/>
              </w:rPr>
              <w:t>Membership of a relevant professional body i.e. IFA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B60" w:rsidRPr="00E533D7" w:rsidRDefault="00025B60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91254F" w:rsidRPr="00E533D7" w:rsidTr="005B10E9">
        <w:trPr>
          <w:trHeight w:val="414"/>
        </w:trPr>
        <w:tc>
          <w:tcPr>
            <w:tcW w:w="1807" w:type="dxa"/>
            <w:shd w:val="clear" w:color="auto" w:fill="auto"/>
            <w:vAlign w:val="center"/>
          </w:tcPr>
          <w:p w:rsidR="0091254F" w:rsidRPr="00E533D7" w:rsidRDefault="0091254F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1254F" w:rsidRPr="00E533D7" w:rsidRDefault="0091254F" w:rsidP="005B10E9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Full driving licence and willingness to drive company vehicles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254F" w:rsidRPr="00E533D7" w:rsidRDefault="0091254F" w:rsidP="005B10E9">
            <w:pPr>
              <w:pStyle w:val="BodyText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254F" w:rsidRPr="00E533D7" w:rsidRDefault="00025B60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91254F" w:rsidRPr="00E533D7" w:rsidTr="003B1F56">
        <w:trPr>
          <w:trHeight w:val="480"/>
        </w:trPr>
        <w:tc>
          <w:tcPr>
            <w:tcW w:w="1807" w:type="dxa"/>
            <w:shd w:val="clear" w:color="auto" w:fill="C0C0C0"/>
            <w:vAlign w:val="center"/>
          </w:tcPr>
          <w:p w:rsidR="0091254F" w:rsidRPr="00E533D7" w:rsidRDefault="0091254F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3D7">
              <w:rPr>
                <w:rFonts w:ascii="Arial" w:hAnsi="Arial" w:cs="Arial"/>
                <w:b/>
                <w:bCs/>
                <w:sz w:val="22"/>
                <w:szCs w:val="22"/>
              </w:rPr>
              <w:t>Experience &amp; Knowledge</w:t>
            </w:r>
          </w:p>
        </w:tc>
        <w:tc>
          <w:tcPr>
            <w:tcW w:w="6662" w:type="dxa"/>
            <w:shd w:val="clear" w:color="auto" w:fill="C0C0C0"/>
            <w:vAlign w:val="center"/>
          </w:tcPr>
          <w:p w:rsidR="0091254F" w:rsidRPr="00E533D7" w:rsidRDefault="0091254F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C0C0C0"/>
            <w:vAlign w:val="center"/>
          </w:tcPr>
          <w:p w:rsidR="0091254F" w:rsidRPr="00E533D7" w:rsidRDefault="0091254F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91254F" w:rsidRPr="00E533D7" w:rsidRDefault="0091254F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514" w:rsidRPr="00E533D7" w:rsidTr="005B10E9">
        <w:trPr>
          <w:trHeight w:val="379"/>
        </w:trPr>
        <w:tc>
          <w:tcPr>
            <w:tcW w:w="1807" w:type="dxa"/>
            <w:shd w:val="clear" w:color="auto" w:fill="auto"/>
            <w:vAlign w:val="center"/>
          </w:tcPr>
          <w:p w:rsidR="00BA1514" w:rsidRPr="00E533D7" w:rsidRDefault="00BA1514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1514" w:rsidRPr="00E533D7" w:rsidRDefault="00BA1514" w:rsidP="00ED4CBA">
            <w:pPr>
              <w:pStyle w:val="BodyText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Knowledge of archaeology of Iron Age/Roman Britain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1514" w:rsidRPr="00E533D7" w:rsidRDefault="00BA1514" w:rsidP="00686A1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Current knowledge of archaeology in Cambridgeshire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514" w:rsidRPr="00E533D7" w:rsidRDefault="00BA1514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D7" w:rsidRPr="00E533D7" w:rsidTr="005B10E9">
        <w:trPr>
          <w:trHeight w:val="379"/>
        </w:trPr>
        <w:tc>
          <w:tcPr>
            <w:tcW w:w="1807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533D7" w:rsidRPr="00E533D7" w:rsidRDefault="00E533D7" w:rsidP="00ED4CBA">
            <w:pPr>
              <w:pStyle w:val="BodyText2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533D7">
              <w:rPr>
                <w:rFonts w:ascii="Arial" w:hAnsi="Arial" w:cs="Arial"/>
                <w:i w:val="0"/>
                <w:sz w:val="22"/>
                <w:szCs w:val="22"/>
              </w:rPr>
              <w:t>Substantial experience working with community archaeology</w:t>
            </w:r>
            <w:r w:rsidRPr="00E533D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groups or projects</w:t>
            </w:r>
          </w:p>
          <w:p w:rsidR="00E533D7" w:rsidRPr="00E533D7" w:rsidRDefault="00E533D7" w:rsidP="00ED4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86A15" w:rsidRPr="00E533D7" w:rsidRDefault="00686A15" w:rsidP="00686A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533D7">
              <w:rPr>
                <w:rFonts w:ascii="Arial" w:hAnsi="Arial" w:cs="Arial"/>
                <w:iCs/>
                <w:sz w:val="22"/>
                <w:szCs w:val="22"/>
              </w:rPr>
              <w:t>Experience of supervising archaeology projects</w:t>
            </w:r>
          </w:p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533D7" w:rsidRPr="00E533D7" w:rsidTr="005B10E9">
        <w:trPr>
          <w:trHeight w:val="430"/>
        </w:trPr>
        <w:tc>
          <w:tcPr>
            <w:tcW w:w="1807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533D7" w:rsidRPr="00E533D7" w:rsidRDefault="00E533D7" w:rsidP="00ED4CBA">
            <w:pPr>
              <w:pStyle w:val="BodyText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E533D7">
              <w:rPr>
                <w:rFonts w:ascii="Arial" w:hAnsi="Arial" w:cs="Arial"/>
                <w:i w:val="0"/>
                <w:sz w:val="22"/>
                <w:szCs w:val="22"/>
              </w:rPr>
              <w:t>Experience of event management, organising workshops and conferences</w:t>
            </w:r>
          </w:p>
          <w:p w:rsidR="00E533D7" w:rsidRPr="00E533D7" w:rsidRDefault="00E533D7" w:rsidP="00ED4CBA">
            <w:pPr>
              <w:pStyle w:val="BodyText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533D7" w:rsidRPr="00E533D7" w:rsidTr="005B10E9">
        <w:trPr>
          <w:trHeight w:val="331"/>
        </w:trPr>
        <w:tc>
          <w:tcPr>
            <w:tcW w:w="1807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533D7" w:rsidRPr="00E533D7" w:rsidRDefault="00E533D7" w:rsidP="00ED4CB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533D7">
              <w:rPr>
                <w:rFonts w:ascii="Arial" w:hAnsi="Arial" w:cs="Arial"/>
                <w:iCs/>
                <w:sz w:val="22"/>
                <w:szCs w:val="22"/>
              </w:rPr>
              <w:t>Experience of public speaking</w:t>
            </w:r>
          </w:p>
          <w:p w:rsidR="00E533D7" w:rsidRPr="00E533D7" w:rsidRDefault="00E533D7" w:rsidP="00ED4CBA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647B14" w:rsidRPr="00E533D7" w:rsidTr="005B10E9">
        <w:trPr>
          <w:trHeight w:val="331"/>
        </w:trPr>
        <w:tc>
          <w:tcPr>
            <w:tcW w:w="1807" w:type="dxa"/>
            <w:shd w:val="clear" w:color="auto" w:fill="auto"/>
            <w:vAlign w:val="center"/>
          </w:tcPr>
          <w:p w:rsidR="00647B14" w:rsidRPr="00E533D7" w:rsidRDefault="00647B14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47B14" w:rsidRPr="00E533D7" w:rsidRDefault="00647B14" w:rsidP="00ED4CB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Experience of social media/blogs/publicity campaigns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7B14" w:rsidRPr="00E533D7" w:rsidRDefault="00647B14" w:rsidP="00E53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7B14" w:rsidRPr="00E533D7" w:rsidRDefault="00647B14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D7" w:rsidRPr="00E533D7" w:rsidTr="005B10E9">
        <w:trPr>
          <w:trHeight w:val="331"/>
        </w:trPr>
        <w:tc>
          <w:tcPr>
            <w:tcW w:w="1807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533D7" w:rsidRPr="00E533D7" w:rsidRDefault="00E533D7" w:rsidP="00ED4CBA">
            <w:pPr>
              <w:pStyle w:val="BodyText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E533D7">
              <w:rPr>
                <w:rFonts w:ascii="Arial" w:hAnsi="Arial" w:cs="Arial"/>
                <w:i w:val="0"/>
                <w:sz w:val="22"/>
                <w:szCs w:val="22"/>
              </w:rPr>
              <w:t>Demonstrable experience of working in multi-disciplinary teams to deliver projects within time and budget constraints</w:t>
            </w:r>
          </w:p>
          <w:p w:rsidR="00E533D7" w:rsidRPr="00E533D7" w:rsidRDefault="00E533D7" w:rsidP="00ED4CBA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33D7" w:rsidRPr="00E533D7" w:rsidRDefault="009F672C" w:rsidP="005B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project evaluation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533D7" w:rsidRPr="00E533D7" w:rsidTr="005B10E9">
        <w:trPr>
          <w:trHeight w:val="331"/>
        </w:trPr>
        <w:tc>
          <w:tcPr>
            <w:tcW w:w="1807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Experience of teaching to both specialist and non-specialist audiences</w:t>
            </w:r>
          </w:p>
          <w:p w:rsidR="00E533D7" w:rsidRPr="00E533D7" w:rsidRDefault="00E533D7" w:rsidP="00E533D7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533D7" w:rsidRPr="00E533D7" w:rsidTr="003B1F56">
        <w:trPr>
          <w:trHeight w:val="480"/>
        </w:trPr>
        <w:tc>
          <w:tcPr>
            <w:tcW w:w="1807" w:type="dxa"/>
            <w:shd w:val="clear" w:color="auto" w:fill="C0C0C0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3D7">
              <w:rPr>
                <w:rFonts w:ascii="Arial" w:hAnsi="Arial" w:cs="Arial"/>
                <w:b/>
                <w:bCs/>
                <w:sz w:val="22"/>
                <w:szCs w:val="22"/>
              </w:rPr>
              <w:t>Skills/Abilities/</w:t>
            </w:r>
          </w:p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3D7">
              <w:rPr>
                <w:rFonts w:ascii="Arial" w:hAnsi="Arial" w:cs="Arial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6662" w:type="dxa"/>
            <w:shd w:val="clear" w:color="auto" w:fill="C0C0C0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C0C0C0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D7" w:rsidRPr="00E533D7" w:rsidTr="005B10E9">
        <w:trPr>
          <w:trHeight w:val="311"/>
        </w:trPr>
        <w:tc>
          <w:tcPr>
            <w:tcW w:w="1807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Ability to work under pressure and to tight schedules</w:t>
            </w:r>
          </w:p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lastRenderedPageBreak/>
              <w:t>Familiarity with CAD</w:t>
            </w:r>
          </w:p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lastRenderedPageBreak/>
              <w:t>AF/I</w:t>
            </w:r>
          </w:p>
        </w:tc>
      </w:tr>
      <w:tr w:rsidR="00E533D7" w:rsidRPr="00E533D7" w:rsidTr="005B10E9">
        <w:trPr>
          <w:trHeight w:val="414"/>
        </w:trPr>
        <w:tc>
          <w:tcPr>
            <w:tcW w:w="1807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Ability to work independently and manage a diverse programme of responsibilities</w:t>
            </w:r>
          </w:p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Familiarity with design programmes such as the Adobe Creative Suites package</w:t>
            </w:r>
          </w:p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AE1F8A" w:rsidRPr="00E533D7" w:rsidTr="005B10E9">
        <w:trPr>
          <w:trHeight w:val="414"/>
        </w:trPr>
        <w:tc>
          <w:tcPr>
            <w:tcW w:w="1807" w:type="dxa"/>
            <w:shd w:val="clear" w:color="auto" w:fill="auto"/>
            <w:vAlign w:val="center"/>
          </w:tcPr>
          <w:p w:rsidR="00AE1F8A" w:rsidRPr="00E533D7" w:rsidRDefault="00AE1F8A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E1F8A" w:rsidRPr="00E533D7" w:rsidRDefault="00AE1F8A" w:rsidP="009F672C">
            <w:pPr>
              <w:rPr>
                <w:rFonts w:ascii="Arial" w:hAnsi="Arial" w:cs="Arial"/>
                <w:sz w:val="22"/>
                <w:szCs w:val="22"/>
              </w:rPr>
            </w:pPr>
            <w:r w:rsidRPr="00AE1F8A">
              <w:rPr>
                <w:rFonts w:ascii="Arial" w:hAnsi="Arial" w:cs="Arial"/>
                <w:sz w:val="22"/>
                <w:szCs w:val="22"/>
              </w:rPr>
              <w:t>•The ability to design learning materials including digital media, audio-visual displays</w:t>
            </w:r>
            <w:r w:rsidR="009F672C">
              <w:rPr>
                <w:rFonts w:ascii="Arial" w:hAnsi="Arial" w:cs="Arial"/>
                <w:sz w:val="22"/>
                <w:szCs w:val="22"/>
              </w:rPr>
              <w:t>, artefacts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1F8A" w:rsidRPr="00E533D7" w:rsidRDefault="009F672C" w:rsidP="00E53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Familiarity with website CMS, SEO, social media scheduling and monitoring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F8A" w:rsidRPr="00E533D7" w:rsidRDefault="009F672C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533D7" w:rsidRPr="00E533D7" w:rsidTr="005B10E9">
        <w:trPr>
          <w:trHeight w:val="406"/>
        </w:trPr>
        <w:tc>
          <w:tcPr>
            <w:tcW w:w="1807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Strong organisational, interpersonal  and communication skills</w:t>
            </w:r>
          </w:p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Ability to create and manage GIS projects</w:t>
            </w:r>
          </w:p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E533D7" w:rsidRPr="00E533D7" w:rsidTr="005B10E9">
        <w:trPr>
          <w:trHeight w:val="427"/>
        </w:trPr>
        <w:tc>
          <w:tcPr>
            <w:tcW w:w="1807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Familiarity</w:t>
            </w:r>
            <w:r w:rsidR="00A46C4F">
              <w:rPr>
                <w:rFonts w:ascii="Arial" w:hAnsi="Arial" w:cs="Arial"/>
                <w:sz w:val="22"/>
                <w:szCs w:val="22"/>
              </w:rPr>
              <w:t xml:space="preserve"> with the use of social media (Facebook, Twitter, F</w:t>
            </w:r>
            <w:r w:rsidRPr="00E533D7">
              <w:rPr>
                <w:rFonts w:ascii="Arial" w:hAnsi="Arial" w:cs="Arial"/>
                <w:sz w:val="22"/>
                <w:szCs w:val="22"/>
              </w:rPr>
              <w:t>lickr)</w:t>
            </w:r>
          </w:p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Familiarity with database systems such as Access</w:t>
            </w:r>
          </w:p>
          <w:p w:rsidR="00E533D7" w:rsidRPr="00E533D7" w:rsidRDefault="00E533D7" w:rsidP="005B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533D7" w:rsidRPr="00E533D7" w:rsidTr="005B10E9">
        <w:trPr>
          <w:trHeight w:val="427"/>
        </w:trPr>
        <w:tc>
          <w:tcPr>
            <w:tcW w:w="1807" w:type="dxa"/>
            <w:shd w:val="clear" w:color="auto" w:fill="auto"/>
            <w:vAlign w:val="center"/>
          </w:tcPr>
          <w:p w:rsidR="00E533D7" w:rsidRPr="00E533D7" w:rsidRDefault="00E533D7" w:rsidP="005B10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533D7" w:rsidRPr="00E533D7" w:rsidRDefault="00E533D7" w:rsidP="00E533D7">
            <w:pPr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Ability to network and connect with stakeholders from a range of fields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533D7" w:rsidRPr="00E533D7" w:rsidRDefault="00647B14" w:rsidP="00647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developing AV content for web or other media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3D7" w:rsidRPr="00E533D7" w:rsidRDefault="00E533D7" w:rsidP="005B1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3D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</w:tbl>
    <w:p w:rsidR="00BB2DD9" w:rsidRPr="00E533D7" w:rsidRDefault="00BB2DD9" w:rsidP="00165592">
      <w:pPr>
        <w:jc w:val="center"/>
        <w:rPr>
          <w:rFonts w:ascii="FranklinGothic" w:hAnsi="FranklinGothic"/>
          <w:b/>
          <w:bCs/>
          <w:sz w:val="22"/>
          <w:szCs w:val="22"/>
        </w:rPr>
      </w:pPr>
    </w:p>
    <w:p w:rsidR="00BB2DD9" w:rsidRPr="00E533D7" w:rsidRDefault="00BB2DD9" w:rsidP="00165592">
      <w:pPr>
        <w:jc w:val="center"/>
        <w:rPr>
          <w:rFonts w:ascii="FranklinGothic" w:hAnsi="FranklinGothic"/>
          <w:b/>
          <w:bCs/>
          <w:sz w:val="22"/>
          <w:szCs w:val="22"/>
        </w:rPr>
      </w:pPr>
      <w:r w:rsidRPr="00E533D7">
        <w:rPr>
          <w:rFonts w:ascii="ITC Franklin Gothic Book" w:hAnsi="ITC Franklin Gothic Book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93548" wp14:editId="77DDB3C4">
                <wp:simplePos x="0" y="0"/>
                <wp:positionH relativeFrom="column">
                  <wp:posOffset>6804837</wp:posOffset>
                </wp:positionH>
                <wp:positionV relativeFrom="paragraph">
                  <wp:posOffset>58464</wp:posOffset>
                </wp:positionV>
                <wp:extent cx="1938020" cy="584791"/>
                <wp:effectExtent l="0" t="0" r="2413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6D" w:rsidRPr="00443142" w:rsidRDefault="0079376D" w:rsidP="0016179A">
                            <w:pPr>
                              <w:rPr>
                                <w:rFonts w:ascii="ITC Franklin Gothic Book" w:hAnsi="ITC 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443142">
                              <w:rPr>
                                <w:rFonts w:ascii="ITC Franklin Gothic Book" w:hAnsi="ITC Franklin Gothic Book"/>
                                <w:b/>
                                <w:sz w:val="20"/>
                                <w:szCs w:val="20"/>
                              </w:rPr>
                              <w:t>Assessment Method Code:</w:t>
                            </w:r>
                          </w:p>
                          <w:p w:rsidR="0079376D" w:rsidRPr="00443142" w:rsidRDefault="0079376D" w:rsidP="0016179A">
                            <w:pPr>
                              <w:rPr>
                                <w:rFonts w:ascii="ITC Franklin Gothic Book" w:hAnsi="ITC Franklin Gothic Book"/>
                                <w:sz w:val="20"/>
                                <w:szCs w:val="20"/>
                              </w:rPr>
                            </w:pPr>
                            <w:r w:rsidRPr="00443142">
                              <w:rPr>
                                <w:rFonts w:ascii="ITC Franklin Gothic Book" w:hAnsi="ITC Franklin Gothic Book"/>
                                <w:sz w:val="20"/>
                                <w:szCs w:val="20"/>
                              </w:rPr>
                              <w:t>AF – Application Form</w:t>
                            </w:r>
                          </w:p>
                          <w:p w:rsidR="0079376D" w:rsidRPr="00443142" w:rsidRDefault="0079376D" w:rsidP="0016179A">
                            <w:pPr>
                              <w:rPr>
                                <w:rFonts w:ascii="ITC Franklin Gothic Book" w:hAnsi="ITC Franklin Gothic Book"/>
                                <w:sz w:val="20"/>
                                <w:szCs w:val="20"/>
                              </w:rPr>
                            </w:pPr>
                            <w:r w:rsidRPr="00443142">
                              <w:rPr>
                                <w:rFonts w:ascii="ITC Franklin Gothic Book" w:hAnsi="ITC Franklin Gothic Book"/>
                                <w:sz w:val="20"/>
                                <w:szCs w:val="20"/>
                              </w:rPr>
                              <w:t>I – Interview</w:t>
                            </w:r>
                          </w:p>
                          <w:p w:rsidR="0079376D" w:rsidRPr="00443142" w:rsidRDefault="0079376D" w:rsidP="0016179A">
                            <w:pPr>
                              <w:rPr>
                                <w:rFonts w:ascii="ITC Franklin Gothic Book" w:hAnsi="ITC 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935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5.8pt;margin-top:4.6pt;width:152.6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1mKQIAAFA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MEsM0&#10;SvQohkDewUCuIju99QU6PVh0CwNeo8qpUm/vgX/3xMC2Y6YVt85B3wlWY3bT+DK7eDri+AhS9Z+g&#10;xjBsHyABDY3TkTokgyA6qnQ8KxNT4THk6u0yn6GJo22xnF+vxhCseH5tnQ8fBGgSNyV1qHxCZ4d7&#10;H2I2rHh2icE8KFnvpFLp4Npqqxw5MOySXfpSAS/clCF9SVeL2WIk4K8Qefr+BKFlwHZXUpd0eXZi&#10;RaTtvalTMwYm1bjHlJU58RipG0kMQzWcdKmgPiKjDsa2xjHETQfuJyU9tnRJ/Y89c4IS9dGgKqvp&#10;fB5nIB3mi+vIp7u0VJcWZjhClTRQMm63YZybvXWy7TDS2AcGblHJRiaSo+RjVqe8sW0T96cRi3Nx&#10;eU5ev34EmycAAAD//wMAUEsDBBQABgAIAAAAIQACjr5i3wAAAAsBAAAPAAAAZHJzL2Rvd25yZXYu&#10;eG1sTI/NTsMwEITvSLyDtUhcEHXSoKQNcSqEBIIbFNRe3XibRPgn2G4a3p7NCY6jGc18U20mo9mI&#10;PvTOCkgXCTC0jVO9bQV8fjzdroCFKK2S2lkU8IMBNvXlRSVL5c72HcdtbBmV2FBKAV2MQ8l5aDo0&#10;MizcgJa8o/NGRpK+5crLM5UbzZdJknMje0sLnRzwscPma3syAlZ3L+M+vGZvuyY/6nW8Kcbnby/E&#10;9dX0cA8s4hT/wjDjEzrUxHRwJ6sC06STIs0pK2C9BDYHsiKnM4fZSjPgdcX/f6h/AQAA//8DAFBL&#10;AQItABQABgAIAAAAIQC2gziS/gAAAOEBAAATAAAAAAAAAAAAAAAAAAAAAABbQ29udGVudF9UeXBl&#10;c10ueG1sUEsBAi0AFAAGAAgAAAAhADj9If/WAAAAlAEAAAsAAAAAAAAAAAAAAAAALwEAAF9yZWxz&#10;Ly5yZWxzUEsBAi0AFAAGAAgAAAAhAGVwbWYpAgAAUAQAAA4AAAAAAAAAAAAAAAAALgIAAGRycy9l&#10;Mm9Eb2MueG1sUEsBAi0AFAAGAAgAAAAhAAKOvmLfAAAACwEAAA8AAAAAAAAAAAAAAAAAgwQAAGRy&#10;cy9kb3ducmV2LnhtbFBLBQYAAAAABAAEAPMAAACPBQAAAAA=&#10;">
                <v:textbox>
                  <w:txbxContent>
                    <w:p w:rsidR="0079376D" w:rsidRPr="00443142" w:rsidRDefault="0079376D" w:rsidP="0016179A">
                      <w:pPr>
                        <w:rPr>
                          <w:rFonts w:ascii="ITC Franklin Gothic Book" w:hAnsi="ITC Franklin Gothic Book"/>
                          <w:b/>
                          <w:sz w:val="20"/>
                          <w:szCs w:val="20"/>
                        </w:rPr>
                      </w:pPr>
                      <w:r w:rsidRPr="00443142">
                        <w:rPr>
                          <w:rFonts w:ascii="ITC Franklin Gothic Book" w:hAnsi="ITC Franklin Gothic Book"/>
                          <w:b/>
                          <w:sz w:val="20"/>
                          <w:szCs w:val="20"/>
                        </w:rPr>
                        <w:t>Assessment Method Code:</w:t>
                      </w:r>
                    </w:p>
                    <w:p w:rsidR="0079376D" w:rsidRPr="00443142" w:rsidRDefault="0079376D" w:rsidP="0016179A">
                      <w:pPr>
                        <w:rPr>
                          <w:rFonts w:ascii="ITC Franklin Gothic Book" w:hAnsi="ITC Franklin Gothic Book"/>
                          <w:sz w:val="20"/>
                          <w:szCs w:val="20"/>
                        </w:rPr>
                      </w:pPr>
                      <w:r w:rsidRPr="00443142">
                        <w:rPr>
                          <w:rFonts w:ascii="ITC Franklin Gothic Book" w:hAnsi="ITC Franklin Gothic Book"/>
                          <w:sz w:val="20"/>
                          <w:szCs w:val="20"/>
                        </w:rPr>
                        <w:t>AF – Application Form</w:t>
                      </w:r>
                    </w:p>
                    <w:p w:rsidR="0079376D" w:rsidRPr="00443142" w:rsidRDefault="0079376D" w:rsidP="0016179A">
                      <w:pPr>
                        <w:rPr>
                          <w:rFonts w:ascii="ITC Franklin Gothic Book" w:hAnsi="ITC Franklin Gothic Book"/>
                          <w:sz w:val="20"/>
                          <w:szCs w:val="20"/>
                        </w:rPr>
                      </w:pPr>
                      <w:r w:rsidRPr="00443142">
                        <w:rPr>
                          <w:rFonts w:ascii="ITC Franklin Gothic Book" w:hAnsi="ITC Franklin Gothic Book"/>
                          <w:sz w:val="20"/>
                          <w:szCs w:val="20"/>
                        </w:rPr>
                        <w:t>I – Interview</w:t>
                      </w:r>
                    </w:p>
                    <w:p w:rsidR="0079376D" w:rsidRPr="00443142" w:rsidRDefault="0079376D" w:rsidP="0016179A">
                      <w:pPr>
                        <w:rPr>
                          <w:rFonts w:ascii="ITC Franklin Gothic Book" w:hAnsi="ITC 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C2E" w:rsidRPr="00E533D7" w:rsidRDefault="004E4C2E" w:rsidP="00165592">
      <w:pPr>
        <w:jc w:val="center"/>
        <w:rPr>
          <w:rFonts w:ascii="FranklinGothic" w:hAnsi="FranklinGothic"/>
          <w:b/>
          <w:bCs/>
          <w:sz w:val="22"/>
          <w:szCs w:val="22"/>
        </w:rPr>
      </w:pPr>
    </w:p>
    <w:sectPr w:rsidR="004E4C2E" w:rsidRPr="00E533D7" w:rsidSect="0091254F">
      <w:headerReference w:type="default" r:id="rId9"/>
      <w:footerReference w:type="default" r:id="rId10"/>
      <w:pgSz w:w="16838" w:h="11906" w:orient="landscape" w:code="9"/>
      <w:pgMar w:top="113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89" w:rsidRDefault="001B3489">
      <w:r>
        <w:separator/>
      </w:r>
    </w:p>
  </w:endnote>
  <w:endnote w:type="continuationSeparator" w:id="0">
    <w:p w:rsidR="001B3489" w:rsidRDefault="001B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12" w:rsidRPr="00822F12" w:rsidRDefault="00822F12" w:rsidP="00822F12">
    <w:pPr>
      <w:rPr>
        <w:rFonts w:eastAsia="Arial Unicode MS"/>
      </w:rPr>
    </w:pPr>
    <w:bookmarkStart w:id="1" w:name="OLE_LINK1"/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89" w:rsidRDefault="001B3489">
      <w:r>
        <w:separator/>
      </w:r>
    </w:p>
  </w:footnote>
  <w:footnote w:type="continuationSeparator" w:id="0">
    <w:p w:rsidR="001B3489" w:rsidRDefault="001B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6D" w:rsidRPr="00822F12" w:rsidRDefault="0079376D">
    <w:pPr>
      <w:pStyle w:val="Header"/>
      <w:rPr>
        <w:rFonts w:ascii="FranklinGothic" w:hAnsi="Franklin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EBF"/>
    <w:multiLevelType w:val="hybridMultilevel"/>
    <w:tmpl w:val="B42A455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1B40"/>
    <w:multiLevelType w:val="hybridMultilevel"/>
    <w:tmpl w:val="1BDE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00B"/>
    <w:multiLevelType w:val="hybridMultilevel"/>
    <w:tmpl w:val="9BA21888"/>
    <w:lvl w:ilvl="0" w:tplc="62B6430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7715"/>
    <w:multiLevelType w:val="multilevel"/>
    <w:tmpl w:val="4154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7D1D35"/>
    <w:multiLevelType w:val="hybridMultilevel"/>
    <w:tmpl w:val="78640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03D93"/>
    <w:multiLevelType w:val="hybridMultilevel"/>
    <w:tmpl w:val="03BC9BBE"/>
    <w:lvl w:ilvl="0" w:tplc="08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17DC"/>
    <w:multiLevelType w:val="hybridMultilevel"/>
    <w:tmpl w:val="25BA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507AD"/>
    <w:multiLevelType w:val="hybridMultilevel"/>
    <w:tmpl w:val="72386656"/>
    <w:lvl w:ilvl="0" w:tplc="EF264F1C">
      <w:numFmt w:val="bullet"/>
      <w:lvlText w:val="•"/>
      <w:lvlJc w:val="left"/>
      <w:pPr>
        <w:ind w:left="1080" w:hanging="720"/>
      </w:pPr>
      <w:rPr>
        <w:rFonts w:ascii="ITC Franklin Gothic Book" w:eastAsia="Times New Roman" w:hAnsi="ITC 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C0616"/>
    <w:multiLevelType w:val="hybridMultilevel"/>
    <w:tmpl w:val="316A4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1332"/>
    <w:multiLevelType w:val="hybridMultilevel"/>
    <w:tmpl w:val="572ED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B6507"/>
    <w:multiLevelType w:val="hybridMultilevel"/>
    <w:tmpl w:val="20B8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724A3"/>
    <w:multiLevelType w:val="hybridMultilevel"/>
    <w:tmpl w:val="1EC4B5D4"/>
    <w:lvl w:ilvl="0" w:tplc="9CE46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022FA2"/>
    <w:multiLevelType w:val="hybridMultilevel"/>
    <w:tmpl w:val="52C2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55D1"/>
    <w:multiLevelType w:val="hybridMultilevel"/>
    <w:tmpl w:val="F708916E"/>
    <w:lvl w:ilvl="0" w:tplc="62B6430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975DA"/>
    <w:multiLevelType w:val="hybridMultilevel"/>
    <w:tmpl w:val="06B4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92"/>
    <w:rsid w:val="00025B60"/>
    <w:rsid w:val="00043CFD"/>
    <w:rsid w:val="00094371"/>
    <w:rsid w:val="000B7A1F"/>
    <w:rsid w:val="000C3ADF"/>
    <w:rsid w:val="000C7E2D"/>
    <w:rsid w:val="000D54B0"/>
    <w:rsid w:val="000F532C"/>
    <w:rsid w:val="001174D3"/>
    <w:rsid w:val="001501A6"/>
    <w:rsid w:val="0016179A"/>
    <w:rsid w:val="00165592"/>
    <w:rsid w:val="001804C0"/>
    <w:rsid w:val="00181B11"/>
    <w:rsid w:val="00186334"/>
    <w:rsid w:val="001A2583"/>
    <w:rsid w:val="001A7949"/>
    <w:rsid w:val="001B3489"/>
    <w:rsid w:val="001B5F19"/>
    <w:rsid w:val="001C3B80"/>
    <w:rsid w:val="001C4C6C"/>
    <w:rsid w:val="001E5BE6"/>
    <w:rsid w:val="001E7E92"/>
    <w:rsid w:val="001F5824"/>
    <w:rsid w:val="00201ED9"/>
    <w:rsid w:val="002123BC"/>
    <w:rsid w:val="00220B52"/>
    <w:rsid w:val="00270F31"/>
    <w:rsid w:val="002C2878"/>
    <w:rsid w:val="002C730C"/>
    <w:rsid w:val="002D01F1"/>
    <w:rsid w:val="002D291F"/>
    <w:rsid w:val="002D538C"/>
    <w:rsid w:val="002F05FD"/>
    <w:rsid w:val="002F5503"/>
    <w:rsid w:val="00306B0C"/>
    <w:rsid w:val="00320ED4"/>
    <w:rsid w:val="00335ED2"/>
    <w:rsid w:val="00336EDA"/>
    <w:rsid w:val="003442A7"/>
    <w:rsid w:val="00360909"/>
    <w:rsid w:val="00362C11"/>
    <w:rsid w:val="00362EF3"/>
    <w:rsid w:val="00373137"/>
    <w:rsid w:val="00386459"/>
    <w:rsid w:val="003B1F56"/>
    <w:rsid w:val="003D1DE3"/>
    <w:rsid w:val="003E4503"/>
    <w:rsid w:val="00402700"/>
    <w:rsid w:val="00416659"/>
    <w:rsid w:val="004243B1"/>
    <w:rsid w:val="004246BD"/>
    <w:rsid w:val="00443142"/>
    <w:rsid w:val="00445878"/>
    <w:rsid w:val="00450B93"/>
    <w:rsid w:val="00465B95"/>
    <w:rsid w:val="0047019C"/>
    <w:rsid w:val="004704C4"/>
    <w:rsid w:val="004A17F1"/>
    <w:rsid w:val="004B51D2"/>
    <w:rsid w:val="004B55E4"/>
    <w:rsid w:val="004C392C"/>
    <w:rsid w:val="004D1ADD"/>
    <w:rsid w:val="004E0372"/>
    <w:rsid w:val="004E1664"/>
    <w:rsid w:val="004E4C2E"/>
    <w:rsid w:val="004E7933"/>
    <w:rsid w:val="005321AF"/>
    <w:rsid w:val="00594BE9"/>
    <w:rsid w:val="005960EB"/>
    <w:rsid w:val="005A0097"/>
    <w:rsid w:val="005B07F7"/>
    <w:rsid w:val="005B10E9"/>
    <w:rsid w:val="005B5A3E"/>
    <w:rsid w:val="005D2FC0"/>
    <w:rsid w:val="005E68C2"/>
    <w:rsid w:val="005F1857"/>
    <w:rsid w:val="005F397C"/>
    <w:rsid w:val="00601492"/>
    <w:rsid w:val="006017DB"/>
    <w:rsid w:val="006068FC"/>
    <w:rsid w:val="00623E54"/>
    <w:rsid w:val="006314E6"/>
    <w:rsid w:val="00645287"/>
    <w:rsid w:val="00647B14"/>
    <w:rsid w:val="00661253"/>
    <w:rsid w:val="00662DC7"/>
    <w:rsid w:val="0066505B"/>
    <w:rsid w:val="006659DD"/>
    <w:rsid w:val="006864AC"/>
    <w:rsid w:val="00686A15"/>
    <w:rsid w:val="006A75F3"/>
    <w:rsid w:val="006B24A8"/>
    <w:rsid w:val="006D1736"/>
    <w:rsid w:val="006F1F05"/>
    <w:rsid w:val="006F44AD"/>
    <w:rsid w:val="006F6581"/>
    <w:rsid w:val="00717861"/>
    <w:rsid w:val="00725733"/>
    <w:rsid w:val="00732250"/>
    <w:rsid w:val="00755CC4"/>
    <w:rsid w:val="007712C9"/>
    <w:rsid w:val="00783097"/>
    <w:rsid w:val="00783A3D"/>
    <w:rsid w:val="0079376D"/>
    <w:rsid w:val="007C29C5"/>
    <w:rsid w:val="007E1642"/>
    <w:rsid w:val="007E6C27"/>
    <w:rsid w:val="0082052C"/>
    <w:rsid w:val="00822F12"/>
    <w:rsid w:val="008354DB"/>
    <w:rsid w:val="008406C3"/>
    <w:rsid w:val="00843F23"/>
    <w:rsid w:val="008644DE"/>
    <w:rsid w:val="00866B38"/>
    <w:rsid w:val="008903A6"/>
    <w:rsid w:val="008D0E7E"/>
    <w:rsid w:val="008E7CC7"/>
    <w:rsid w:val="008F2FDD"/>
    <w:rsid w:val="008F496F"/>
    <w:rsid w:val="008F6BBB"/>
    <w:rsid w:val="0091254F"/>
    <w:rsid w:val="00931DCA"/>
    <w:rsid w:val="00936D27"/>
    <w:rsid w:val="00940F19"/>
    <w:rsid w:val="0097454D"/>
    <w:rsid w:val="0097495C"/>
    <w:rsid w:val="009946A4"/>
    <w:rsid w:val="00995FCB"/>
    <w:rsid w:val="00996335"/>
    <w:rsid w:val="009A3643"/>
    <w:rsid w:val="009A61C4"/>
    <w:rsid w:val="009B7891"/>
    <w:rsid w:val="009C1C49"/>
    <w:rsid w:val="009E38FA"/>
    <w:rsid w:val="009F672C"/>
    <w:rsid w:val="009F6EBD"/>
    <w:rsid w:val="009F6FA6"/>
    <w:rsid w:val="00A067F8"/>
    <w:rsid w:val="00A07E49"/>
    <w:rsid w:val="00A11AB2"/>
    <w:rsid w:val="00A30664"/>
    <w:rsid w:val="00A46C4F"/>
    <w:rsid w:val="00A572B4"/>
    <w:rsid w:val="00A73074"/>
    <w:rsid w:val="00A8031B"/>
    <w:rsid w:val="00A85862"/>
    <w:rsid w:val="00A91601"/>
    <w:rsid w:val="00AA0E15"/>
    <w:rsid w:val="00AB14FB"/>
    <w:rsid w:val="00AB2F87"/>
    <w:rsid w:val="00AB4849"/>
    <w:rsid w:val="00AE1F8A"/>
    <w:rsid w:val="00B01C4D"/>
    <w:rsid w:val="00B2007B"/>
    <w:rsid w:val="00B260DF"/>
    <w:rsid w:val="00B52DF9"/>
    <w:rsid w:val="00B702B0"/>
    <w:rsid w:val="00BA1514"/>
    <w:rsid w:val="00BA1746"/>
    <w:rsid w:val="00BA5637"/>
    <w:rsid w:val="00BB2DD9"/>
    <w:rsid w:val="00BF0178"/>
    <w:rsid w:val="00BF129A"/>
    <w:rsid w:val="00BF35A3"/>
    <w:rsid w:val="00C06F80"/>
    <w:rsid w:val="00C20700"/>
    <w:rsid w:val="00C512F3"/>
    <w:rsid w:val="00C62646"/>
    <w:rsid w:val="00CB6105"/>
    <w:rsid w:val="00CB6A26"/>
    <w:rsid w:val="00CD0AFA"/>
    <w:rsid w:val="00CF1F2A"/>
    <w:rsid w:val="00CF40ED"/>
    <w:rsid w:val="00D04CF5"/>
    <w:rsid w:val="00D22396"/>
    <w:rsid w:val="00D26936"/>
    <w:rsid w:val="00D2793C"/>
    <w:rsid w:val="00D525D7"/>
    <w:rsid w:val="00D551A4"/>
    <w:rsid w:val="00D57D51"/>
    <w:rsid w:val="00D71995"/>
    <w:rsid w:val="00D814BD"/>
    <w:rsid w:val="00DC5641"/>
    <w:rsid w:val="00DD1F19"/>
    <w:rsid w:val="00DD28CB"/>
    <w:rsid w:val="00DE23D1"/>
    <w:rsid w:val="00DE2B27"/>
    <w:rsid w:val="00DF2DB7"/>
    <w:rsid w:val="00E1087F"/>
    <w:rsid w:val="00E243D5"/>
    <w:rsid w:val="00E5174F"/>
    <w:rsid w:val="00E533D7"/>
    <w:rsid w:val="00E542EA"/>
    <w:rsid w:val="00E55946"/>
    <w:rsid w:val="00E95120"/>
    <w:rsid w:val="00E97463"/>
    <w:rsid w:val="00EA2C53"/>
    <w:rsid w:val="00EA6BA1"/>
    <w:rsid w:val="00EC009B"/>
    <w:rsid w:val="00ED103A"/>
    <w:rsid w:val="00F37C5C"/>
    <w:rsid w:val="00F52540"/>
    <w:rsid w:val="00F665CD"/>
    <w:rsid w:val="00F84BF1"/>
    <w:rsid w:val="00F84DFA"/>
    <w:rsid w:val="00F93C8B"/>
    <w:rsid w:val="00FB2E24"/>
    <w:rsid w:val="00FC09E1"/>
    <w:rsid w:val="00FC3FDC"/>
    <w:rsid w:val="00FD1723"/>
    <w:rsid w:val="00FD6D89"/>
    <w:rsid w:val="00FD6FFB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BF99784-E6C1-4285-966E-E53F7833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5592"/>
    <w:pPr>
      <w:keepNext/>
      <w:jc w:val="center"/>
      <w:outlineLvl w:val="0"/>
    </w:pPr>
    <w:rPr>
      <w:rFonts w:ascii="FranklinGothic" w:hAnsi="FranklinGothic"/>
      <w:b/>
      <w:bCs/>
      <w:sz w:val="28"/>
    </w:rPr>
  </w:style>
  <w:style w:type="paragraph" w:styleId="Heading2">
    <w:name w:val="heading 2"/>
    <w:basedOn w:val="Normal"/>
    <w:next w:val="Normal"/>
    <w:qFormat/>
    <w:rsid w:val="00165592"/>
    <w:pPr>
      <w:keepNext/>
      <w:jc w:val="both"/>
      <w:outlineLvl w:val="1"/>
    </w:pPr>
    <w:rPr>
      <w:rFonts w:ascii="FranklinGothic" w:hAnsi="FranklinGothic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5592"/>
    <w:pPr>
      <w:jc w:val="both"/>
    </w:pPr>
    <w:rPr>
      <w:rFonts w:ascii="FranklinGothic" w:hAnsi="FranklinGothic"/>
    </w:rPr>
  </w:style>
  <w:style w:type="paragraph" w:styleId="Title">
    <w:name w:val="Title"/>
    <w:basedOn w:val="Normal"/>
    <w:qFormat/>
    <w:rsid w:val="00165592"/>
    <w:pPr>
      <w:jc w:val="center"/>
    </w:pPr>
    <w:rPr>
      <w:rFonts w:ascii="FranklinGothic" w:hAnsi="FranklinGothic"/>
      <w:b/>
      <w:bCs/>
      <w:sz w:val="28"/>
    </w:rPr>
  </w:style>
  <w:style w:type="paragraph" w:styleId="Caption">
    <w:name w:val="caption"/>
    <w:basedOn w:val="Normal"/>
    <w:next w:val="Normal"/>
    <w:qFormat/>
    <w:rsid w:val="00165592"/>
    <w:rPr>
      <w:rFonts w:ascii="FranklinGothic" w:hAnsi="FranklinGothic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655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559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65592"/>
    <w:pPr>
      <w:jc w:val="both"/>
    </w:pPr>
    <w:rPr>
      <w:rFonts w:ascii="ITC Franklin Gothic Book" w:hAnsi="ITC Franklin Gothic Book"/>
      <w:i/>
      <w:iCs/>
      <w:sz w:val="20"/>
    </w:rPr>
  </w:style>
  <w:style w:type="character" w:styleId="Emphasis">
    <w:name w:val="Emphasis"/>
    <w:qFormat/>
    <w:rsid w:val="00165592"/>
    <w:rPr>
      <w:i/>
      <w:iCs/>
    </w:rPr>
  </w:style>
  <w:style w:type="paragraph" w:styleId="ListParagraph">
    <w:name w:val="List Paragraph"/>
    <w:basedOn w:val="Normal"/>
    <w:uiPriority w:val="34"/>
    <w:qFormat/>
    <w:rsid w:val="00D525D7"/>
    <w:pPr>
      <w:ind w:left="720"/>
    </w:pPr>
  </w:style>
  <w:style w:type="paragraph" w:styleId="BalloonText">
    <w:name w:val="Balloon Text"/>
    <w:basedOn w:val="Normal"/>
    <w:link w:val="BalloonTextChar"/>
    <w:rsid w:val="00995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FC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043CFD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57D5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57D5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DF2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2D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D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A260-A227-4B11-8802-B7C3DBBC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Museum of London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kaellis</dc:creator>
  <cp:lastModifiedBy>Sorina Spanou</cp:lastModifiedBy>
  <cp:revision>3</cp:revision>
  <cp:lastPrinted>2011-11-11T10:04:00Z</cp:lastPrinted>
  <dcterms:created xsi:type="dcterms:W3CDTF">2017-02-08T16:08:00Z</dcterms:created>
  <dcterms:modified xsi:type="dcterms:W3CDTF">2017-02-10T10:04:00Z</dcterms:modified>
</cp:coreProperties>
</file>